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сентября 2012 г. N 889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ВЫВОДЕ В РЕМОНТ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ИЗ ЭКСПЛУАТАЦИИ ИСТОЧНИКОВ ТЕПЛОВОЙ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 И ТЕПЛОВЫХ СЕТЕЙ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теплоснабжении" Правительство Российской Федерации постановляет: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вывода в ремонт и из эксплуатации источников тепловой энергии и тепловых сетей.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прилагаемые </w:t>
      </w:r>
      <w:hyperlink w:anchor="Par110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вывода объектов электроэнергетики в ремонт и из эксплуатации, утвержденные постановлением Правительства Российской Федерации от 26 июля 2007 г. N 484 (Собрание законодательства Российской Федерации, 2007, N 31, ст. 4100; 2009, N 12, ст. 1429; 2011, N 14, ст. 1916).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Утверждены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сентября 2012 г. N 889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ПРАВИЛА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ВЫВОДА В РЕМОНТ И ИЗ ЭКСПЛУАТАЦИИ ИСТОЧНИКОВ ТЕПЛОВОЙ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 И ТЕПЛОВЫХ СЕТЕЙ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вывода в ремонт и из эксплуатации источников тепловой энергии и тепловых сетей.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Правила не распространяются на вывод в ремонт и из эксплуатации источников тепловой энергии и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Понятия, используемые в настоящих Правилах, означают следующее: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"внеплановый ремонт" - ремонт источников тепловой энергии и тепловых сетей, осуществляемый в случаях: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наступления обстоятельств, вызванных необходимостью выполнения работ для предотвращения повреждения оборудования или аварийных отключений либо ликвидации последствий аварий и инцидентов;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возникновения в процессе эксплуатации либо плановых эксплуатационных испытаний оборудования причин, которые невозможно было предвидеть заранее и которые потребуют незамедлительного проведения ремонтных работ;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"вывод в ремонт" -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</w:t>
      </w:r>
      <w:r>
        <w:rPr>
          <w:rFonts w:ascii="Calibri" w:hAnsi="Calibri" w:cs="Calibri"/>
        </w:rPr>
        <w:lastRenderedPageBreak/>
        <w:t>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"вывод из эксплуатации" - окончательная остановка работы источников тепловой энергии и тепловых сетей, которая осуществляется в целях их ликвидации или консервации на срок более 1 года;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"дефицит тепловой энергии" - технологическая невозможность обеспечения тепловой нагрузки потребителей тепловой энергии, объема поддерживаемой резервной мощности и подключаемой тепловой нагрузки;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"плановый ремонт" - ремонт источников тепловой энергии и тепловых сетей, осуществляемый в сроки, установленные обязательными требованиями нормативных правовых актов и (или) инструкциями по эксплуатации оборудования;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"смежные тепловые сети" - тепловые сети, технологически подключенные друг к другу или к источникам тепловой энергии.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3. Вывод в ремонт источников тепловой энергии и тепловых сетей осуществляется по согласованию с органом местного самоуправления поселения или городского округа, на территории которого осуществляется теплоснабжение с использованием указанных объектов (далее - орган местного самоуправления).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 из эксплуатации источников тепловой энергии осуществляется по согласованию с органом местного самоуправления.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 из эксплуатации тепловых сетей осуществляется по согласованию с органом местного самоуправления и потребителями тепловой энергии.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 из эксплуатации тепловых сетей, с использованием которых осуществляется теплоснабжение потребителей тепловой энергии, теплопотребляющие установки которых подключены к этим тепловым сетям в надлежащем порядке, не допускается без согласования с указанными потребителями.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комбинированной выработки электрической и тепловой энергии, установленной мощностью 5 МВт и более осуществляется по согласованию: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органом местного самоуправления в соответствии с настоящими Правилами;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субъектом оперативно-диспетчерского управления в электроэнергетике, а в случае вывода из эксплуатации - также с уполномоченным федеральным органом исполнительной власти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электроэнергетике.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II. Вывод в ремонт источников тепловой энергии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тепловых сетей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Вывод в ремонт осуществляется в соответствии со сводным годовым планом ремонтов источников тепловой энергии и тепловых сетей (далее - сводный план), утверждаемым органом местного самоуправления на основании результатов рассмотрения заявок на вывод в плановый ремонт (далее - заявка), а также уведомлений о внеплановом ремонте.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Заявки подаются в орган местного самоуправления не позднее 10 октября года, предшествующего планируемому.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Заявка подается собственником или иным законным владельцем источника тепловой энергии и тепловой сети, а также уполномоченными этими собственниками лицами и организацией, уполномоченной на эксплуатацию бесхозяйных объектов.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Заявка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</w:t>
      </w:r>
      <w:r>
        <w:rPr>
          <w:rFonts w:ascii="Calibri" w:hAnsi="Calibri" w:cs="Calibri"/>
        </w:rPr>
        <w:lastRenderedPageBreak/>
        <w:t>проведения ремонта.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</w:t>
      </w:r>
      <w:hyperlink w:anchor="Par44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настоящих Правил, владелец объекта прилагает к заявке 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Сводный план разрабатывается органом местного самоуправления на основании рассмотрения заявок.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сводного плана должен быть разработан не позднее 30 октября года, предшествующего планируемому.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8. Сводный план должен содержать даты ремонта и обеспечивать: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возможность выполнения всех выводов в ремонт источников тепловой энергии и тепловых сетей, запланированных в заявках;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синхронизацию вывода в ремонт технологически связанных источников тепловой энергии и тепловых сетей;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учет утверждаемых субъектами оперативно-диспетчерского управления в электроэнергетике графиков вывода в ремонт объектов, функционирующих в режиме комбинированной выработки электрической и тепловой энергии;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плановых ремонтов в перерыве между отопительными периодами либо в ходе отопительного периода, но без ограничения теплоснабжения потребителей тепловой энергии.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Орган местного самоуправления направляет до 7 ноября года, предшествующего планируемому, проект сводного плана подавшим заявки владельцам источников тепловой энергии и тепловых сетей и единой теплоснабжающей организации, которые вправе представить предложения по проекту сводного плана. Рассмотрение предложений при их наличии и утверждение сводного плана органом местного самоуправления должны быть осуществлены до 30 ноября года, предшествующего планируемому.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Утвержденный сводный план направляется органом местного самоуправления собственникам, иным законным владельцам источников тепловой энергии и тепловых сетей и единой теплоснабжающей организации в течение 3 рабочих дней со дня его утверждения.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необходимости внесения изменений в сводный план, в том числе продления сроков ранее начатых ремонтов, владельцы источников тепловой энергии и тепловых сетей подают в орган местного самоуправления заявку на внесение изменений в сводный план, которая должна содержать обоснование изменения сроков ремонтов. В случае подачи заявки на внесение изменений в сводный план в отношении объекта, функционирующего в режиме комбинированной выработки электрической и тепловой энергии, если такой объект соответствует положениям </w:t>
      </w:r>
      <w:hyperlink w:anchor="Par44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настоящих Правил, к заявке на внесение изменений в сводный план прилагается 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Российской Федерации об электроэнергетике, а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Заявка на внесение изменений в сводный план должна быть рассмотрена органом местного самоуправления в течение 5 дней со дня ее поступления. В случае если в указанный срок орган местного самоуправления не направит мотивированный отказ от согласования корректировки сроков вывода в ремонт по причине невозможности обеспечить соблюдение положений </w:t>
      </w:r>
      <w:hyperlink w:anchor="Par62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настоящих Правил, владельцы источников тепловой энергии и тепловых сетей вправе проводить ремонт в срок, указанный в заявке на внесение изменений в сводный план.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Измененный сводный план должен быть направлен владельцам смежных тепловых сетей, источников тепловой энергии и единой теплоснабжающей организации в течение 5 дней со дня внесения изменений.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случае совпадения сроков вывода в ремонт, предлагаемых собственниками и иными законными владельцами в отношении источников тепловой энергии, одновременный вывод в ремонт которых может привести к нарушению надежного теплоснабжения, приоритет имеют </w:t>
      </w:r>
      <w:r>
        <w:rPr>
          <w:rFonts w:ascii="Calibri" w:hAnsi="Calibri" w:cs="Calibri"/>
        </w:rPr>
        <w:lastRenderedPageBreak/>
        <w:t>объекты, требующие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осуществления внепланового ремонта собственник или иной законный владелец источника тепловой энергии и тепловых сетей направляет в орган местного самоуправления в течение 24 часов со дня начала внепланового ремонта уведомление с указанием объектов, выведенных во внеплановый ремонт, и сроков ремонта.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Владельцы источников тепловой энергии и тепловых сетей представляют ежегодно, до 31 марта, в орган местного самоуправления информацию о выполнении ремонтов этого оборудования за прошедший год.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6"/>
      <w:bookmarkEnd w:id="7"/>
      <w:r>
        <w:rPr>
          <w:rFonts w:ascii="Calibri" w:hAnsi="Calibri" w:cs="Calibri"/>
        </w:rPr>
        <w:t>III. Вывод из эксплуатации источников тепловой энергии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тепловых сетей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Вывод из эксплуатации тепловых сетей, с использованием которых осуществляется теплоснабжение потребителей тепловой энергии, теплопотребляющие установки которых подключены к этим тепловым сетям в надлежащем порядке, осуществляется по согласованию с указанными потребителями.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вывода из эксплуатации источника тепловой энергии и тепловых сетей осуществляется на основании результатов рассмотрения уведомления о выводе из эксплуатации, направляемого в орган местного самоуправления собственником или иным законным владельцем указанных объектов.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если вывод из эксплуатации источника тепловой энергии и тепловых сетей предусмотрен схемой теплоснабжения поселения или городского округа (далее - схема теплоснабжения), вывод из эксплуатации осуществляется в сроки, установленные схемой теплоснабжения.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собственник или иной законный владелец источника тепловой энергии или тепловых сетей, вывод которых из эксплуатации предусмотрен схемой теплоснабжения, в установленные схемой теплоснабжения сроки не осуществит вывод объектов из эксплуатации, владельцы смежных тепловых сетей и источников тепловой энергии вправе произвести отключение этих объектов от системы теплоснабжения.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Собственники или иные законные владельцы источников тепловой энергии и тепловых сетей, планирующие вывод их из эксплуатации (консервацию или ликвидацию), не менее чем за 8 месяцев до планируемого вывода обязаны в письменной форме уведомить в целях согласования вывода их из эксплуатации орган местного самоуправления поселения или городского округа (с указанием оборудования, выводимого из эксплуатации) о сроках и причинах вывода указанных объектов из эксплуатации в случае, если такой вывод не обоснован в схеме теплоснабжения.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 уведомлению о выводе из эксплуатации тепловых сетей, к которым в надлежащем порядке подключены теплопотребляющие установки потребителей тепловой энергии, прилагаются письменные согласования вывода тепловых сетей из эксплуатации, полученные от всех потребителей тепловой энергии, указанных в уведомлении, в том числе потребителей в многоквартирных домах в случае непосредственного управления многоквартирным домом собственниками помещений.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согласования с потребителями тепловой энергии собственник или иной законный владелец тепловых сетей уведомляет потребителей тепловой энергии о предстоящем выводе из эксплуатации тепловых сетей посредством направления почтового отправления с уведомлением о вручении. Потребители обязаны направить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теплоснабжения. В случае неполучения в течение 15 дней согласования потребителей вывода тепловых сетей из эксплуатации вывод их из эксплуатации считается </w:t>
      </w:r>
      <w:r>
        <w:rPr>
          <w:rFonts w:ascii="Calibri" w:hAnsi="Calibri" w:cs="Calibri"/>
        </w:rPr>
        <w:lastRenderedPageBreak/>
        <w:t>согласованным и к уведомлению о выводе их из эксплуатации, направляемому в орган местного самоуправления, прикладываются уведомления о вручении почтовых отправлений, направленных потребителям.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6"/>
      <w:bookmarkEnd w:id="8"/>
      <w:r>
        <w:rPr>
          <w:rFonts w:ascii="Calibri" w:hAnsi="Calibri" w:cs="Calibri"/>
        </w:rPr>
        <w:t>18. Орган местного самоуправления, в который поступило уведомление о выводе из эксплуатации источника тепловой энергии и тепловых сетей,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энергии, выявленного на основании анализа схемы теплоснабжения, при этом собственники или иные законные владельцы указанных объектов обязаны выполнить такое требование органа местного самоуправления.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принятом решении в отношении вывода из эксплуатации указанных объектов орган местного самоуправления сообщает лицу, направившему соответствующее уведомление, в течение 7 дней со дня принятия решения.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местного самоуправления 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если продолжение эксплуатации объектов по требованию органа местного самоуправления ведет к некомпенсируемым финансовым убыткам,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1"/>
      <w:bookmarkEnd w:id="9"/>
      <w:r>
        <w:rPr>
          <w:rFonts w:ascii="Calibri" w:hAnsi="Calibri" w:cs="Calibri"/>
        </w:rPr>
        <w:t>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расходами, отнесенными регулируемой организацией на соответствующий вид деятельности в соответствии с законодательством Российской Федерации, субсидиями (компенсациями), выплачиваемыми регулируемой организации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уполномоченным органом исполнительной власти субъекта Российской Федерации в области регулирования тарифов в сфере теплоснабжения. Размер компенсации подлежит согласованию с уполномоченным органом исполнительной власти субъекта Российской Федерации в области регулирования тарифов в сфере теплоснабжения. Для определения размера компенсации расчет размера компенсации направляется владельцем объекта в орган исполнительной власти субъекта Российской Федерации в области регулирования тарифов в сфере теплоснабжения в течение 20 календарных дней со дня принятия решения о приостановлении вывода объекта из эксплуатации. Указанный орган обязан рассмотреть расчет и направить согласование или разногласия в течение 30 дней со дня получения расчета.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В случае наличия разногласий по размеру компенсации между органом местного самоуправления, органом исполнительной власти субъекта Российской Федерации в области регулирования тарифов в сфере теплоснабжения, собственником или иным законным владельцем источника тепловой энергии и тепловых сетей размер компенсации определяется судом.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Компенсация выплачивается ежеквартально в размере фактически понесенных </w:t>
      </w:r>
      <w:r>
        <w:rPr>
          <w:rFonts w:ascii="Calibri" w:hAnsi="Calibri" w:cs="Calibri"/>
        </w:rPr>
        <w:lastRenderedPageBreak/>
        <w:t>собственниками или иными законными владельцами источников тепловой энергии и тепловых сетей некомпенсируемых финансовых убытков за указанный период, но не выше размера, предусмотренного соглашением, заключаемым в соответствии с настоящим постановлением.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возникновения разницы между фактически понесенными некомпенсируемыми финансовыми убытками и размером компенсации, предусмотренным соглашением, размер компенсации корректируется с учетом указанной разницы в соответствии с положениями </w:t>
      </w:r>
      <w:hyperlink w:anchor="Par91" w:history="1">
        <w:r>
          <w:rPr>
            <w:rFonts w:ascii="Calibri" w:hAnsi="Calibri" w:cs="Calibri"/>
            <w:color w:val="0000FF"/>
          </w:rPr>
          <w:t>абзацев второго</w:t>
        </w:r>
      </w:hyperlink>
      <w:r>
        <w:rPr>
          <w:rFonts w:ascii="Calibri" w:hAnsi="Calibri" w:cs="Calibri"/>
        </w:rPr>
        <w:t xml:space="preserve"> и </w:t>
      </w:r>
      <w:hyperlink w:anchor="Par92" w:history="1">
        <w:r>
          <w:rPr>
            <w:rFonts w:ascii="Calibri" w:hAnsi="Calibri" w:cs="Calibri"/>
            <w:color w:val="0000FF"/>
          </w:rPr>
          <w:t>третьего</w:t>
        </w:r>
      </w:hyperlink>
      <w:r>
        <w:rPr>
          <w:rFonts w:ascii="Calibri" w:hAnsi="Calibri" w:cs="Calibri"/>
        </w:rPr>
        <w:t xml:space="preserve"> настоящего пункта и выплачивается в очередной финансовый год.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местного самоуправления и собственник или иной законный владелец источника тепловой энергии и тепловых сетей заключают соглашение, которым определяются порядок, размер и сроки выплаты компенсации, основания для расторжения соглашения, в том числе по инициативе собственника или иного законного владельца источника тепловой энергии и тепловых сетей в случае нарушения органом местного самоуправления сроков или порядка выплаты компенсации, вследствие чего собственник или иной законный владелец источника тепловой энергии и тепловых сетей вправе вывести объекты из эксплуатации.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Собственники или иные законные владельцы источников тепловой энергии и тепловых сетей вправе продать муниципальному образованию указанные объекты по цене, которая ниже определенной оценщиком рыночной стоимости, или передать их безвозмездно. Муниципальное образование в случае приобретения источника тепловой энергии и тепловых сетей несет ответственность за их эксплуатацию.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орган местного самоуправления должен осуществлять выбор оставляемых в эксплуатации источников тепловой энергии с учетом минимизации затрат потребителей тепловой энергии, требований энергетической эффективности и обеспечения надежности теплоснабжения.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Вывод из эксплуатации источников тепловой энергии и тепловых сетей осуществляется после получения согласования на вывод из эксплуатации от органа местного самоуправления, а в случае вывода из эксплуатации электростанции или оборудования электростанции, функционирующих в режиме комбинированной выработки электрической и тепловой энергии, если такой объект соответствует положениям </w:t>
      </w:r>
      <w:hyperlink w:anchor="Par44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настоящих Правил, также при условии соблюдения требований по выводу из эксплуатации, установленных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электроэнергетике.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от органа местного самоуправления в срок, предусмотренный </w:t>
      </w:r>
      <w:hyperlink w:anchor="Par86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Правил, заявителю не поступит решение по результатам рассмотрения уведомления, заявитель вправе вывести объекты из эксплуатации в сроки, указанные в уведомлении.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05"/>
      <w:bookmarkEnd w:id="11"/>
      <w:r>
        <w:rPr>
          <w:rFonts w:ascii="Calibri" w:hAnsi="Calibri" w:cs="Calibri"/>
        </w:rPr>
        <w:t>Утверждены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сентября 2012 г. N 889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10"/>
      <w:bookmarkEnd w:id="12"/>
      <w:r>
        <w:rPr>
          <w:rFonts w:ascii="Calibri" w:hAnsi="Calibri" w:cs="Calibri"/>
          <w:b/>
          <w:bCs/>
        </w:rPr>
        <w:t>ИЗМЕНЕНИЯ,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ПРАВИЛА ВЫВОДА ОБЪЕКТОВ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ЭЛЕКТРОЭНЕРГЕТИКИ В РЕМОНТ И ИЗ ЭКСПЛУАТАЦИИ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27(1) следующего содержания: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"27(1). К заявке на вывод из эксплуатации генерирующего объекта, включая входящее в его состав оборудование, функционирующего в режиме комбинированной выработки электрической и тепловой энергии, прилагаются согласования вывода из эксплуатации источника тепловой энергии, полученные в установленном порядке от органов местного самоуправления поселений </w:t>
      </w:r>
      <w:r>
        <w:rPr>
          <w:rFonts w:ascii="Calibri" w:hAnsi="Calibri" w:cs="Calibri"/>
        </w:rPr>
        <w:lastRenderedPageBreak/>
        <w:t>или городских округов, на территории которых теплоснабжение потребителей тепловой энергии осуществляется с использованием тепловой энергии, производимой на указанном источнике.".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9" w:history="1">
        <w:r>
          <w:rPr>
            <w:rFonts w:ascii="Calibri" w:hAnsi="Calibri" w:cs="Calibri"/>
            <w:color w:val="0000FF"/>
          </w:rPr>
          <w:t>Пункт 32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"32. Заключение о необходимости отказа в выводе объекта диспетчеризации из эксплуатации выдается в случаях, предусмотренных пунктом 21 настоящих Правил, а также если к заявке на вывод из эксплуатации генерирующего объекта или входящего в его состав оборудования, функционирующего в режиме комбинированной выработки электрической и тепловой энергии, не приложены согласования, предусмотренные пунктом 27(1) настоящих Правил.".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0" w:history="1">
        <w:r>
          <w:rPr>
            <w:rFonts w:ascii="Calibri" w:hAnsi="Calibri" w:cs="Calibri"/>
            <w:color w:val="0000FF"/>
          </w:rPr>
          <w:t>Пункт 34</w:t>
        </w:r>
      </w:hyperlink>
      <w:r>
        <w:rPr>
          <w:rFonts w:ascii="Calibri" w:hAnsi="Calibri" w:cs="Calibri"/>
        </w:rPr>
        <w:t xml:space="preserve"> дополнить предложением следующего содержания: "Уполномоченный орган не вправе принимать решение о согласовании вывода из эксплуатации генерирующего объекта или входящего в его состав оборудования, функционирующего в режиме комбинированной выработки электрической и тепловой энергии, в случае отсутствия согласований, предусмотренных пунктом 27(1) настоящих Правил.".</w:t>
      </w: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5E4E" w:rsidRDefault="00285E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3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compat/>
  <w:rsids>
    <w:rsidRoot w:val="00285E4E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E4E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8A9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2C437239F49A15EEC8BBF1027DD3899C316B6D5FEE40FCED5CDD7E282098ADED9BE57C7E2E6DC16E8I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52C437239F49A15EEC8BBF1027DD3899C217B8D1FCE40FCED5CDD7E282098ADED9BE57C7E2E6D516E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2C437239F49A15EEC8BBF1027DD3899C217B8D1FCE40FCED5CDD7E282098ADED9BE57C7E2E7DD16E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F52C437239F49A15EEC8BBF1027DD3899C316B6D5FEE40FCED5CDD7E282098ADED9BE57C7E2E6DC16E8I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4F52C437239F49A15EEC8BBF1027DD3899C316B6D5FEE40FCED5CDD7E282098ADED9BE15E5I" TargetMode="External"/><Relationship Id="rId4" Type="http://schemas.openxmlformats.org/officeDocument/2006/relationships/hyperlink" Target="consultantplus://offline/ref=4F52C437239F49A15EEC8BBF1027DD3899C51BB9DBF8E40FCED5CDD7E282098ADED9BE57C7E2E5DE16E0I" TargetMode="External"/><Relationship Id="rId9" Type="http://schemas.openxmlformats.org/officeDocument/2006/relationships/hyperlink" Target="consultantplus://offline/ref=4F52C437239F49A15EEC8BBF1027DD3899C316B6D5FEE40FCED5CDD7E282098ADED9BE57C7E2E6D416EA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37509-0008-4B80-AE8F-BE0E4204B347}"/>
</file>

<file path=customXml/itemProps2.xml><?xml version="1.0" encoding="utf-8"?>
<ds:datastoreItem xmlns:ds="http://schemas.openxmlformats.org/officeDocument/2006/customXml" ds:itemID="{EE44E1A3-DC25-4901-9C41-113A8FE2866F}"/>
</file>

<file path=customXml/itemProps3.xml><?xml version="1.0" encoding="utf-8"?>
<ds:datastoreItem xmlns:ds="http://schemas.openxmlformats.org/officeDocument/2006/customXml" ds:itemID="{C54B4459-24B6-4A9F-AF7E-DA87321E7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3474</Words>
  <Characters>19807</Characters>
  <Application>Microsoft Office Word</Application>
  <DocSecurity>0</DocSecurity>
  <Lines>165</Lines>
  <Paragraphs>46</Paragraphs>
  <ScaleCrop>false</ScaleCrop>
  <Company/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2013-12-04T08:04:00Z</dcterms:created>
  <dcterms:modified xsi:type="dcterms:W3CDTF">2013-12-04T08:05:00Z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